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240" w:lineRule="auto"/>
      </w:pPr>
      <w:r>
        <w:rPr>
          <w:rFonts w:ascii="Calibri" w:hAnsi="Calibri"/>
          <w:b/>
          <w:sz w:val="32"/>
        </w:rPr>
        <w:t>AGENT - Belastbare Analyse des wirtschaftlichen Werts von Schönheit</w:t>
      </w:r>
    </w:p>
    <w:p>
      <w:pPr>
        <w:spacing w:after="200" w:line="240" w:lineRule="auto"/>
      </w:pPr>
      <w:r>
        <w:rPr>
          <w:rFonts w:ascii="Calibri" w:hAnsi="Calibri"/>
          <w:b w:val="0"/>
          <w:sz w:val="22"/>
        </w:rPr>
        <w:t>PERSON. Unterstütze die nutzende Person, ersetze ihr Urteil nicht. Ziel: eine belastbare Analyse des wirtschaftlichen Werts von Schönheit im Tourismus, mit prüfbarem Weg. Verbote: keine erfundenen Quellen; Unsicherheit nicht verbergen; Perspektiven nicht zu einem undifferenzierten Aggregat vermengen.</w:t>
      </w:r>
    </w:p>
    <w:p>
      <w:pPr>
        <w:spacing w:after="200" w:line="240" w:lineRule="auto"/>
      </w:pPr>
      <w:r>
        <w:rPr>
          <w:rFonts w:ascii="Calibri" w:hAnsi="Calibri"/>
          <w:b w:val="0"/>
          <w:sz w:val="22"/>
        </w:rPr>
        <w:t>HANDLUNGEN. Führe strikt in dieser Reihenfolge aus:</w:t>
        <w:br/>
        <w:t>0) Durchquere zuerst den untenstehenden Wissensraum: starte bei einer relevanten Zelle und folge den verteidigbarsten Beziehungen zwischen den Blättern Reisende, Einwohner und Hotelier (behandle die Blätter nicht nur sequenziell). Begründe jeden Übergang.</w:t>
        <w:br/>
        <w:t>1) Bestätigung oder Änderung der zentralen Hypothese einholen.</w:t>
        <w:br/>
        <w:t>2) Eine Literaturübersicht durchführen (Quellentypen und Grenzen, ohne erfundene Zitate).</w:t>
        <w:br/>
        <w:t>3) Die Argumente dafür synthetisieren.</w:t>
        <w:br/>
        <w:t>4) Die Argumente dagegen synthetisieren.</w:t>
        <w:br/>
        <w:t>5) Einen Artikel von 3000 Zeichen verfassen und dich nur auf angemessen verteidigbare Beziehungen und Argumente aus Traversierung und Tabellen stützen.</w:t>
      </w:r>
    </w:p>
    <w:p>
      <w:pPr>
        <w:spacing w:after="160" w:line="240" w:lineRule="auto"/>
      </w:pPr>
      <w:r>
        <w:rPr>
          <w:rFonts w:ascii="Calibri" w:hAnsi="Calibri"/>
          <w:b w:val="0"/>
          <w:sz w:val="22"/>
        </w:rPr>
        <w:t>INFORMATIONEN. Strukturierte Wissensbasis (dasselbe Raster Dimension der Schönheit / Wirkung unter drei Perspektiven). Stütze dich ausschliesslich auf dieses prüfbare Wissen; unterscheide klar, was für Reisende, Einwohner und Hotelier gilt.</w:t>
      </w:r>
    </w:p>
    <w:p>
      <w:pPr>
        <w:spacing w:after="80" w:line="240" w:lineRule="auto"/>
      </w:pPr>
      <w:r>
        <w:rPr>
          <w:rFonts w:ascii="Calibri" w:hAnsi="Calibri"/>
          <w:b/>
          <w:sz w:val="24"/>
        </w:rPr>
        <w:t>Reisende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der Schönheit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Wirkung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Landschaftsqualität (Berg, See, Aussicht)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Höhere Präferenz, Besuchabsicht, Zahlungsbereitschaft für Aussicht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Architektur und baukulturelles Erbe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Reichere Erfahrung; Foto-Sharing; Weiterempfehlungsabsicht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Öffentliche Räume und Promenaden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Zufriedenheit; Flanieren; Sicherheit und Komfort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Hoteldesign und Beherbergungsarchitektur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Markenpräferenz; Luxus-/Einzigartigkeitswahrnehmung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Visuelle Identität und Destinationsbranding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Wiedererkennung; antizipierte Attraktivität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Seeufer, Quais und Stadt-Wasser-Schnittstellen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Anziehung zu Ufern; Freizeitaktivitäten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Stille, Nachthimmel, sensorische Qualität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Erholung; Schlafqualität; Erfahrungsuniqität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Art, Festivals, eventbezogene Ästhetik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Besuchsmotiv; Neuheit; Social Sharing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Sauberkeit, Unterhalt, fehlende visuelle Verschmutzung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Eindruck von Qualität und Pflege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Beschilderung, Schaufenster, kommerzielle Stadtlandschaft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Leichtere Orientierung; Flaniervegenügen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Wahrgenommene Authentizität vs. Disneyfizierung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Gefühl eines 'echten Orts' oder Themenparks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Ästhetische Saisonalität (Farben, Schnee, Licht)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Saisonmotive (Herbst, Powder, Lichtphänomene)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Sichtbare Biodiversität und Stadtgrün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Wohlbefinden; Präferenz für naturnahe Aufenthalte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Aussichten entlang von Mobilitätsachsen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Wow-Effekt bei Ankunft; Memorabilität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Gastronomie als ästhetische Erfahrung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Genuss; Entdeckung; Reiseanlass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Ästhetische Kohärenz des Angebots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Lesbare Erfahrung; weniger kognitive Reibung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Schutz vor Überfüllung ikonischer Sites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Nicht degradierte Erfahrung; Wiederkehrbereitschaft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Beleuchtung und nächtliche Skyline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Atmosphäre; wahrgenommene Sicherheit; Nachtfotografie</w:t>
            </w:r>
          </w:p>
        </w:tc>
      </w:tr>
    </w:tbl>
    <w:p/>
    <w:p>
      <w:pPr>
        <w:spacing w:after="80" w:line="240" w:lineRule="auto"/>
      </w:pPr>
      <w:r>
        <w:rPr>
          <w:rFonts w:ascii="Calibri" w:hAnsi="Calibri"/>
          <w:b/>
          <w:sz w:val="24"/>
        </w:rPr>
        <w:t>Einwohner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der Schönheit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Wirkung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Landschaftsqualität (Berg, See, Aussicht)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Lokaler Stolz möglich, aber Bodendruck und Überfüllung an Aussichtspunkten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Architektur und baukulturelles Erbe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Unterhaltskosten, Regulierungsauflagen, Nutzungskonflikte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Öffentliche Räume und Promenaden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Geteilte Amenities; Verdrängungsrisiko bei Privatisierung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Hoteldesign und Beherbergungsarchitektur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Wenig Direkteffekt; Ablehnung bei Kontrast zum Ort möglich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Visuelle Identität und Destinationsbranding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Risiko karikaturhafter Vereinfachung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Seeufer, Quais und Stadt-Wasser-Schnittstellen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Privatisierung von Blicken; Mietanstieg; Konflikte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Stille, Nachthimmel, sensorische Qualität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Konflikt mit Nachtökonomie und Events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Art, Festivals, eventbezogene Ästhetik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Öffentliche Kosten, Belästigung, kurze Sättigung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Sauberkeit, Unterhalt, fehlende visuelle Verschmutzung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Wiederkehrende öffentliche Kosten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Beschilderung, Schaufenster, kommerzielle Stadtlandschaft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Auflagen für Händler; Umbaukosten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Wahrgenommene Authentizität vs. Disneyfizierung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Ausschluss lokaler Praktiken; Folklorisierung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Ästhetische Saisonalität (Farben, Schnee, Licht)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Saisonarbeit; Druck auf Services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Sichtbare Biodiversität und Stadtgrün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Conservationskosten; Zugangskonflikte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Aussichten entlang von Mobilitätsachsen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Infrastruktur kann Aussichten auch zerstören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Gastronomie als ästhetische Erfahrung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Lokale Preissteigerung; ungleiche Zugänglichkeit für Einwohner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Ästhetische Kohärenz des Angebots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Weniger Vielfalt; Homogenisierungsrisiko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Schutz vor Überfüllung ikonischer Sites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Quoten, Tickets, Zugangskonflikte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Beleuchtung und nächtliche Skyline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Lichtverschmutzung; Energiekosten; Belästigung</w:t>
            </w:r>
          </w:p>
        </w:tc>
      </w:tr>
    </w:tbl>
    <w:p/>
    <w:p>
      <w:pPr>
        <w:spacing w:after="80" w:line="240" w:lineRule="auto"/>
      </w:pPr>
      <w:r>
        <w:rPr>
          <w:rFonts w:ascii="Calibri" w:hAnsi="Calibri"/>
          <w:b/>
          <w:sz w:val="24"/>
        </w:rPr>
        <w:t>Hotelier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der Schönheit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Wirkung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Landschaftsqualität (Berg, See, Aussicht)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Mögliche Nachfrage- und Preisanstiege lagebezogen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Architektur und baukulturelles Erbe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Preisprämie für Unterkünfte/Geschäfte im historischen Gewebe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Öffentliche Räume und Promenaden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Spillover für lokale Gastronomie und Retail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Hoteldesign und Beherbergungsarchitektur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Höhere Zahlungsbereitschaft; bessere Preispositionierung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Visuelle Identität und Destinationsbranding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Effizientere Kampagnen; relativ niedrigere Acquisition Costs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Seeufer, Quais und Stadt-Wasser-Schnittstellen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Aufwertung ufernaher Betriebe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Stille, Nachthimmel, sensorische Qualität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Positionierung 'slow'/premium-ruhig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Art, Festivals, eventbezogene Ästhetik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Umsatzpeaks für Horeca und Ticketing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Sauberkeit, Unterhalt, fehlende visuelle Verschmutzung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Weniger Beschwerden; bessere Experience-Scores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Beschilderung, Schaufenster, kommerzielle Stadtlandschaft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Potenziell höherer Warenkorb und Frequenz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Wahrgenommene Authentizität vs. Disneyfizierung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Premium-Differenzierung oder Abhängigkeit von Standardästhetik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Ästhetische Saisonalität (Farben, Schnee, Licht)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Nebensaison-Auslastung oder Extremepeaks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Sichtbare Biodiversität und Stadtgrün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Nature-based Produkte; Guides; Soft Mobility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Aussichten entlang von Mobilitätsachsen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Wenig Direkteffekt ausser Scenic-Route-Produkten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Gastronomie als ästhetische Erfahrung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F&amp;B-Erlöse; Terroir-Produkte; Upselling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Ästhetische Kohärenz des Angebots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Bessere Marketing-Conversion wenn Versprechen = Realität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Schutz vor Überfüllung ikonischer Sites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Stabilisierung der Erlöse statt Rohwachstum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Beleuchtung und nächtliche Skyline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Ausgedehnte Laden-/F&amp;B-Zeiten</w:t>
            </w:r>
          </w:p>
        </w:tc>
      </w:tr>
    </w:tbl>
    <w:p/>
    <w:p>
      <w:pPr>
        <w:spacing w:after="200" w:line="240" w:lineRule="auto"/>
      </w:pPr>
      <w:r>
        <w:rPr>
          <w:rFonts w:ascii="Calibri" w:hAnsi="Calibri"/>
          <w:b w:val="0"/>
          <w:sz w:val="22"/>
        </w:rPr>
        <w:t>RESSOURCEN. Erlaubt: die Wissenstabellen dieses Dokuments; strukturiertes Denken; explizite begriffliche Unterscheidungen. Gesperrt: erfundene Literaturangaben; erfundene Statistiken; erzwungener Konsens zwischen konfliktären Perspektiven.</w:t>
      </w:r>
    </w:p>
    <w:p>
      <w:pPr>
        <w:spacing w:after="120" w:line="240" w:lineRule="auto"/>
      </w:pPr>
      <w:r>
        <w:rPr>
          <w:rFonts w:ascii="Calibri" w:hAnsi="Calibri"/>
          <w:b w:val="0"/>
          <w:sz w:val="22"/>
        </w:rPr>
        <w:t>DEFINITION OF DONE. Liefer: (a) den gewählten Traversierungspfad mit begründeten Übergängen; (b) die fünf Schritte der Gedankenkette; (c) den abschliessenden Artikel von 3000 Zeichen; (d) ungelöste Unsicherheiten und Inter-Perspektiven-Konflikte, ohne sie zu tilgen.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