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3 - Destinationsstrategie</w:t>
      </w:r>
    </w:p>
    <w:p>
      <w:r>
        <w:rPr>
          <w:sz w:val="22"/>
        </w:rPr>
        <w:t>PERSON. Übersetze belastbare Ergebnisse in Politik-, Investitions- und Stakeholder-Implikationen.</w:t>
      </w:r>
    </w:p>
    <w:p>
      <w:r>
        <w:rPr>
          <w:sz w:val="22"/>
        </w:rPr>
        <w:t>HANDLUNGEN. Kritikfeste Befunde filtern; Optionen und Risiken formulieren.</w:t>
      </w:r>
    </w:p>
    <w:p>
      <w:r>
        <w:rPr>
          <w:sz w:val="22"/>
        </w:rPr>
        <w:t>INFORMATIONEN. Interessen von Gemeinden, Betrieben und Einwohnern einbeziehen.</w:t>
      </w:r>
    </w:p>
    <w:p>
      <w:r>
        <w:rPr>
          <w:sz w:val="22"/>
        </w:rPr>
        <w:t>RESSOURCEN. Erlaubt: Entscheidungsrahmen. Gesperrt: Empfehlungen ohne Evidenzbezug.</w:t>
      </w:r>
    </w:p>
    <w:p>
      <w:r>
        <w:rPr>
          <w:sz w:val="22"/>
        </w:rPr>
        <w:t>DEFINITION OF DONE. Drei Handlungsoptionen mit Monitoring-Kriterien.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