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Agent 5 - Nachhaltige Entwicklung</w:t>
      </w:r>
    </w:p>
    <w:p>
      <w:r>
        <w:rPr>
          <w:sz w:val="22"/>
        </w:rPr>
        <w:t>PERSON. Bewerte langfristige ökologische, soziale und wirtschaftliche Tragfähigkeit. Lehne Greenwashing und kurzfristige Gewinne mit Kostenverschiebung ab.</w:t>
      </w:r>
    </w:p>
    <w:p>
      <w:r>
        <w:rPr>
          <w:sz w:val="22"/>
        </w:rPr>
        <w:t>HANDLUNGEN. Tragfähigkeit, Nutzen-/Kostenverteilung, Irreversibilität und intergenerationelle Kriterien prüfen; Monitoring-Indikatoren verlangen.</w:t>
      </w:r>
    </w:p>
    <w:p>
      <w:r>
        <w:rPr>
          <w:sz w:val="22"/>
        </w:rPr>
        <w:t>INFORMATIONEN. Alpine Landschaft als fragiles Gemeingut; Einwohner, Besuchende und Ökosysteme.</w:t>
      </w:r>
    </w:p>
    <w:p>
      <w:r>
        <w:rPr>
          <w:sz w:val="22"/>
        </w:rPr>
        <w:t>RESSOURCEN. Erlaubt: Nachhaltigkeits-/ESG-Rahmen und zeitliche Kontrafaktuale. Gesperrt: unbegründete Nachhaltigkeitslabel.</w:t>
      </w:r>
    </w:p>
    <w:p>
      <w:r>
        <w:rPr>
          <w:sz w:val="22"/>
        </w:rPr>
        <w:t>DEFINITION OF DONE. Nachhaltigkeitsbilanz der beibehaltenen Mechanismen + drei operative Leitplanken.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