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line="240" w:lineRule="auto"/>
      </w:pPr>
      <w:r>
        <w:rPr>
          <w:rFonts w:ascii="Calibri" w:hAnsi="Calibri"/>
          <w:b/>
          <w:sz w:val="32"/>
        </w:rPr>
        <w:t>AGENT - Defensible analysis of the economic value of beauty</w:t>
      </w:r>
    </w:p>
    <w:p>
      <w:pPr>
        <w:spacing w:after="200" w:line="240" w:lineRule="auto"/>
      </w:pPr>
      <w:r>
        <w:rPr>
          <w:rFonts w:ascii="Calibri" w:hAnsi="Calibri"/>
          <w:b w:val="0"/>
          <w:sz w:val="22"/>
        </w:rPr>
        <w:t>PERSON. Support the user; do not replace their judgement. Goal: produce a defensible analysis of the economic value of beauty in tourism, with an inspectable path. Prohibitions: do not invent sources; do not hide uncertainty; do not collapse perspectives into one undifferentiated aggregate.</w:t>
      </w:r>
    </w:p>
    <w:p>
      <w:pPr>
        <w:spacing w:after="200" w:line="240" w:lineRule="auto"/>
      </w:pPr>
      <w:r>
        <w:rPr>
          <w:rFonts w:ascii="Calibri" w:hAnsi="Calibri"/>
          <w:b w:val="0"/>
          <w:sz w:val="22"/>
        </w:rPr>
        <w:t>ACTIONS. Execute strictly in this order:</w:t>
        <w:br/>
        <w:t>0) First traverse the knowledge space below: start from a relevant cell and follow the most defensible relations across the Tourist, Resident and Hotelier sheets (do not treat the sheets only sequentially). Justify each transition.</w:t>
        <w:br/>
        <w:t>1) Ask for confirmation or modification of the central hypothesis.</w:t>
        <w:br/>
        <w:t>2) Conduct a literature review (source types and limits, without invented citations).</w:t>
        <w:br/>
        <w:t>3) Synthesise the arguments for.</w:t>
        <w:br/>
        <w:t>4) Synthesise the arguments against.</w:t>
        <w:br/>
        <w:t>5) Write a 3,000-character article based only on reasonably defensible relationships and arguments from the traversal and tables.</w:t>
      </w:r>
    </w:p>
    <w:p>
      <w:pPr>
        <w:spacing w:after="160" w:line="240" w:lineRule="auto"/>
      </w:pPr>
      <w:r>
        <w:rPr>
          <w:rFonts w:ascii="Calibri" w:hAnsi="Calibri"/>
          <w:b w:val="0"/>
          <w:sz w:val="22"/>
        </w:rPr>
        <w:t>INFORMATION. Structured knowledge base (same Dimension of beauty / Effect grid under three perspectives). Rely exclusively on this inspectable knowledge; distinguish clearly what holds for the tourist, the resident and the hotelier.</w:t>
      </w:r>
    </w:p>
    <w:p>
      <w:pPr>
        <w:spacing w:after="80" w:line="240" w:lineRule="auto"/>
      </w:pPr>
      <w:r>
        <w:rPr>
          <w:rFonts w:ascii="Calibri" w:hAnsi="Calibri"/>
          <w:b/>
          <w:sz w:val="24"/>
        </w:rPr>
        <w:t>Tourist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Dimension of beauty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Effect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Landscape quality (mountain, lake, view)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Higher preference, visit intention, WTP for the view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Architecture and built heritage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Richer experience; photo-sharing; recommendation intent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Public spaces and promenades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Satisfaction; lingering; perceived safety and comfort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Hotel design and lodging architecture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Brand preference; luxury/singularity perception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Visual identity and destination branding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Destination recognition; anticipated attractiveness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Waterfronts, quays, lake–city interfaces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Attraction to shores; leisure uses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Silence, night sky, sensory quality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Restfulness; sleep quality; experiential uniqueness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Public art, festivals, event aesthetics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Visit motive; novelty; social sharing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Cleanliness, upkeep, absence of visual pollution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Impression of quality and care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Signage, shopfronts, commercial townscape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Easier wayfinding; pleasure of walking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Perceived authenticity vs disneyfication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Sense of a 'real place' or of a theme park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Aesthetic seasonality (colour, snow, light)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Seasonal motives (foliage, powder, light phenomena)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Visible biodiversity and urban greenery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Wellbeing; preference for nature-near stays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Views along mobility corridors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Arrival wow; memorability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Gastronomy as aesthetic experience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Pleasure; discovery; travel motive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Aesthetic coherence of the offer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Legible experience; less cognitive friction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Protection against overcrowding of iconic sites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Undegraded experience; willingness to return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Lighting and night skyline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Atmosphere; perceived safety; night photography</w:t>
            </w:r>
          </w:p>
        </w:tc>
      </w:tr>
    </w:tbl>
    <w:p/>
    <w:p>
      <w:pPr>
        <w:spacing w:after="80" w:line="240" w:lineRule="auto"/>
      </w:pPr>
      <w:r>
        <w:rPr>
          <w:rFonts w:ascii="Calibri" w:hAnsi="Calibri"/>
          <w:b/>
          <w:sz w:val="24"/>
        </w:rPr>
        <w:t>Resident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Dimension of beauty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Effect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Landscape quality (mountain, lake, view)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Possible local pride, but land pressure and viewpoint overcrowding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Architecture and built heritage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Maintenance costs, regulatory constraints, use conflicts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Public spaces and promenades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Shared amenities; displacement risk if space is privatised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Hotel design and lodging architecture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Little direct effect; rejection if design clashes with place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Visual identity and destination branding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Risk of caricatured simplification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Waterfronts, quays, lake–city interfaces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Privatised views; rent rises; resident–visitor conflict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Silence, night sky, sensory quality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Conflict with night economy and events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Public art, festivals, event aesthetics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Public costs, nuisance, short saturation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Cleanliness, upkeep, absence of visual pollution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Recurring public cost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Signage, shopfronts, commercial townscape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Constraints on traders; compliance costs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Perceived authenticity vs disneyfication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Exclusion of local practices; folklorisation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Aesthetic seasonality (colour, snow, light)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Seasonal labour; service stress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Visible biodiversity and urban greenery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Conservation costs; access conflicts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Views along mobility corridors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Infrastructure can also destroy views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Gastronomy as aesthetic experience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Local price rises; unequal resident access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Aesthetic coherence of the offer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Less diversity; homogenisation risk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Protection against overcrowding of iconic sites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Quotas, tickets, access conflicts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Lighting and night skyline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Light pollution; energy costs; nuisance</w:t>
            </w:r>
          </w:p>
        </w:tc>
      </w:tr>
    </w:tbl>
    <w:p/>
    <w:p>
      <w:pPr>
        <w:spacing w:after="80" w:line="240" w:lineRule="auto"/>
      </w:pPr>
      <w:r>
        <w:rPr>
          <w:rFonts w:ascii="Calibri" w:hAnsi="Calibri"/>
          <w:b/>
          <w:sz w:val="24"/>
        </w:rPr>
        <w:t>Hotelier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Dimension of beauty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/>
                <w:sz w:val="20"/>
              </w:rPr>
              <w:t>Effect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Landscape quality (mountain, lake, view)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Potential demand and rate increases tied to view/location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Architecture and built heritage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Price premium for stays/shops in the historic fabric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Public spaces and promenades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Spillovers to local F&amp;B and retail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Hotel design and lodging architecture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Higher WTP; stronger rate positioning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Visual identity and destination branding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More efficient campaigns; relatively lower acquisition cost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Waterfronts, quays, lake–city interfaces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Uplift for waterfront businesses and lodging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Silence, night sky, sensory quality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'Slow'/calm-premium positioning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Public art, festivals, event aesthetics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Revenue peaks for hospitality and ticketing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Cleanliness, upkeep, absence of visual pollution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Fewer complaints; better experience scores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Signage, shopfronts, commercial townscape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Potential higher baskets and footfall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Perceived authenticity vs disneyfication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Premium differentiation or dependence on standard aesthetics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Aesthetic seasonality (colour, snow, light)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Shoulder fill or extreme peaks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Visible biodiversity and urban greenery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Nature-based products; guides; soft mobility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Views along mobility corridors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Little direct effect except scenic-route products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Gastronomy as aesthetic experience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F&amp;B revenues; terroir products; upselling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Aesthetic coherence of the offer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Better marketing conversion if promise = reality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Protection against overcrowding of iconic sites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Revenue stabilisation rather than raw growth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Lighting and night skyline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/>
                <w:b w:val="0"/>
                <w:sz w:val="18"/>
              </w:rPr>
              <w:t>Extended shop/F&amp;B hours</w:t>
            </w:r>
          </w:p>
        </w:tc>
      </w:tr>
    </w:tbl>
    <w:p/>
    <w:p>
      <w:pPr>
        <w:spacing w:after="200" w:line="240" w:lineRule="auto"/>
      </w:pPr>
      <w:r>
        <w:rPr>
          <w:rFonts w:ascii="Calibri" w:hAnsi="Calibri"/>
          <w:b w:val="0"/>
          <w:sz w:val="22"/>
        </w:rPr>
        <w:t>RESOURCES. Allowed: the knowledge tables in this document; structured reasoning; explicit conceptual distinctions. Blocked: invented bibliographic citations; invented statistics; forced consensus across conflicting perspectives.</w:t>
      </w:r>
    </w:p>
    <w:p>
      <w:pPr>
        <w:spacing w:after="120" w:line="240" w:lineRule="auto"/>
      </w:pPr>
      <w:r>
        <w:rPr>
          <w:rFonts w:ascii="Calibri" w:hAnsi="Calibri"/>
          <w:b w:val="0"/>
          <w:sz w:val="22"/>
        </w:rPr>
        <w:t>DEFINITION OF DONE. Deliver: (a) the traversal path taken with justified transitions; (b) the five chain-of-thought steps; (c) a final 3,000-character article; (d) unresolved uncertainties and cross-perspective disagreements, without erasing them.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