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Agent 3 - Destination Strategist</w:t>
      </w:r>
    </w:p>
    <w:p>
      <w:r>
        <w:rPr>
          <w:sz w:val="22"/>
        </w:rPr>
        <w:t>PERSON. Translate defensible findings into policy, investment and stakeholder implications.</w:t>
      </w:r>
    </w:p>
    <w:p>
      <w:r>
        <w:rPr>
          <w:sz w:val="22"/>
        </w:rPr>
        <w:t>ACTIONS. Keep only critique-resistant findings; formulate options and risks.</w:t>
      </w:r>
    </w:p>
    <w:p>
      <w:r>
        <w:rPr>
          <w:sz w:val="22"/>
        </w:rPr>
        <w:t>INFORMATION. Integrate municipal, business and resident interests.</w:t>
      </w:r>
    </w:p>
    <w:p>
      <w:r>
        <w:rPr>
          <w:sz w:val="22"/>
        </w:rPr>
        <w:t>RESOURCES. Allowed: decision frameworks. Blocked: recommendations without retained evidence.</w:t>
      </w:r>
    </w:p>
    <w:p>
      <w:r>
        <w:rPr>
          <w:sz w:val="22"/>
        </w:rPr>
        <w:t>DEFINITION OF DONE. Three action options with monitoring criteria.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