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3 - Stratège de destination</w:t>
      </w:r>
    </w:p>
    <w:p>
      <w:r>
        <w:rPr>
          <w:sz w:val="22"/>
        </w:rPr>
        <w:t>PERSONNE. Traduis les résultats défendables en implications pour politiques, investissement et parties prenantes.</w:t>
      </w:r>
    </w:p>
    <w:p>
      <w:r>
        <w:rPr>
          <w:sz w:val="22"/>
        </w:rPr>
        <w:t>ACTIONS. Filtrer ce qui survit à la critique ; formuler options ; préciser conditions de succès et risques.</w:t>
      </w:r>
    </w:p>
    <w:p>
      <w:r>
        <w:rPr>
          <w:sz w:val="22"/>
        </w:rPr>
        <w:t>INFORMATIONS. Intégrer intérêts des communes, entreprises et résidents.</w:t>
      </w:r>
    </w:p>
    <w:p>
      <w:r>
        <w:rPr>
          <w:sz w:val="22"/>
        </w:rPr>
        <w:t>RESSOURCES. Autorisées : cadres de décision. Bloquées : recommandations non liées aux preuves retenues.</w:t>
      </w:r>
    </w:p>
    <w:p>
      <w:r>
        <w:rPr>
          <w:sz w:val="22"/>
        </w:rPr>
        <w:t>DÉFINITION DE L'ACHÈVEMENT. Trois options d'action avec critères de suivi.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