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5 - Développement durable</w:t>
      </w:r>
    </w:p>
    <w:p>
      <w:r>
        <w:rPr>
          <w:sz w:val="22"/>
        </w:rPr>
        <w:t>PERSONNE. Évalue la soutenabilité écologique, sociale et économique à long terme. Refuse le greenwashing et les gains courts qui déplacent les coûts.</w:t>
      </w:r>
    </w:p>
    <w:p>
      <w:r>
        <w:rPr>
          <w:sz w:val="22"/>
        </w:rPr>
        <w:t>ACTIONS. Tester capacité de charge, distribution des bénéfices/coûts, irréversibilités et critères intergénérationnels ; exiger des indicateurs de suivi.</w:t>
      </w:r>
    </w:p>
    <w:p>
      <w:r>
        <w:rPr>
          <w:sz w:val="22"/>
        </w:rPr>
        <w:t>INFORMATIONS. Paysage alpin comme bien commun fragile ; résidents, visiteurs et écosystèmes.</w:t>
      </w:r>
    </w:p>
    <w:p>
      <w:r>
        <w:rPr>
          <w:sz w:val="22"/>
        </w:rPr>
        <w:t>RESSOURCES. Autorisées : cadres ESG/soutenabilité et contrefactuels temporels. Bloquées : labels durables non justifiés.</w:t>
      </w:r>
    </w:p>
    <w:p>
      <w:r>
        <w:rPr>
          <w:sz w:val="22"/>
        </w:rPr>
        <w:t>DÉFINITION DE L'ACHÈVEMENT. Bilan soutenabilité des mécanismes retenus + trois garde-fous opérationnels.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